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jc w:val="left"/>
      </w:pPr>
      <w:r>
        <w:rPr>
          <w:rFonts w:ascii="Arial" w:cs="Arial" w:eastAsia="Arial" w:hAnsi="Arial"/>
          <w:b/>
          <w:bCs/>
          <w:color w:val="24324A"/>
          <w:sz w:val="40"/>
          <w:szCs w:val="40"/>
        </w:rPr>
        <w:t xml:space="preserve">Jordan Lee</w:t>
      </w:r>
    </w:p>
    <w:p>
      <w:pPr>
        <w:keepNext/>
        <w:spacing w:after="40"/>
        <w:jc w:val="left"/>
      </w:pPr>
      <w:r>
        <w:rPr>
          <w:rFonts w:ascii="Arial" w:cs="Arial" w:eastAsia="Arial" w:hAnsi="Arial"/>
          <w:i/>
          <w:iCs/>
          <w:color w:val="111111"/>
          <w:sz w:val="22"/>
          <w:szCs w:val="22"/>
        </w:rPr>
        <w:t xml:space="preserve">Senior Product Manager | B2B Platforms</w:t>
      </w:r>
    </w:p>
    <w:p>
      <w:pPr>
        <w:spacing w:after="160"/>
        <w:jc w:val="left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jordan.lee@example.com · New York, NY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24324A"/>
          <w:sz w:val="22"/>
          <w:szCs w:val="22"/>
        </w:rPr>
        <w:t xml:space="preserve">SUMMARY</w:t>
      </w:r>
    </w:p>
    <w:p>
      <w:r>
        <w:rPr>
          <w:rFonts w:ascii="Arial" w:cs="Arial" w:eastAsia="Arial" w:hAnsi="Arial"/>
          <w:color w:val="24324A"/>
          <w:sz w:val="21"/>
          <w:szCs w:val="21"/>
        </w:rPr>
        <w:t xml:space="preserve">Senior product manager with 7 years of experience turning customer and operational problems into measurable B2B platform improvements. Leads discovery, prioritization, experimentation, and launch decisions across engineering, design, data, sales, and support.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24324A"/>
          <w:sz w:val="22"/>
          <w:szCs w:val="22"/>
        </w:rPr>
        <w:t xml:space="preserve">PRODUCT CAPABILITIES</w:t>
      </w:r>
    </w:p>
    <w:p>
      <w:r>
        <w:rPr>
          <w:rFonts w:ascii="Arial" w:cs="Arial" w:eastAsia="Arial" w:hAnsi="Arial"/>
          <w:color w:val="24324A"/>
          <w:sz w:val="22"/>
          <w:szCs w:val="22"/>
        </w:rPr>
        <w:t xml:space="preserve">Product Strategy · Customer Discovery · Roadmapping · Prioritization · Experiment Design · Product Analytics · Go-to-Market · API Products · SQL · Amplitude · Jira · Cross-Functional Leadership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24324A"/>
          <w:sz w:val="22"/>
          <w:szCs w:val="22"/>
        </w:rPr>
        <w:t xml:space="preserve">EXPERIENCE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24324A"/>
          <w:sz w:val="21"/>
          <w:szCs w:val="21"/>
        </w:rPr>
        <w:t xml:space="preserve">Senior Product Manager · Atlas Workflow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2022 – Present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4324A"/>
          <w:sz w:val="21"/>
          <w:szCs w:val="21"/>
        </w:rPr>
        <w:t xml:space="preserve">Led discovery and launch for a self-serve permissions product, increasing activation among eligible accounts from 41% to 63%.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4324A"/>
          <w:sz w:val="21"/>
          <w:szCs w:val="21"/>
        </w:rPr>
        <w:t xml:space="preserve">Prioritized an onboarding roadmap using 27 customer interviews, funnel analysis, and support-volume data.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4324A"/>
          <w:sz w:val="21"/>
          <w:szCs w:val="21"/>
        </w:rPr>
        <w:t xml:space="preserve">Partnered with engineering and security to define API access controls for 3 enterprise launch cohorts.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24324A"/>
          <w:sz w:val="21"/>
          <w:szCs w:val="21"/>
        </w:rPr>
        <w:t xml:space="preserve">Product Manager · Relay Commerce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2019 – 2022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4324A"/>
          <w:sz w:val="21"/>
          <w:szCs w:val="21"/>
        </w:rPr>
        <w:t xml:space="preserve">Owned merchant reporting for a B2B commerce platform serving 1,200 active accounts.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4324A"/>
          <w:sz w:val="21"/>
          <w:szCs w:val="21"/>
        </w:rPr>
        <w:t xml:space="preserve">Ran 6 onboarding experiments and improved first-week report creation by 22%.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4324A"/>
          <w:sz w:val="21"/>
          <w:szCs w:val="21"/>
        </w:rPr>
        <w:t xml:space="preserve">Created launch decision memos that made goals, tradeoffs, risks, and instrumentation visible to stakeholders.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24324A"/>
          <w:sz w:val="22"/>
          <w:szCs w:val="22"/>
        </w:rPr>
        <w:t xml:space="preserve">SELECTED PRODUCT WORK</w:t>
      </w:r>
    </w:p>
    <w:p>
      <w:pPr>
        <w:keepNext/>
        <w:tabs>
          <w:tab w:val="right" w:pos="10650"/>
        </w:tabs>
        <w:spacing w:after="30" w:before="150"/>
      </w:pPr>
      <w:r>
        <w:rPr>
          <w:rFonts w:ascii="Arial" w:cs="Arial" w:eastAsia="Arial" w:hAnsi="Arial"/>
          <w:b/>
          <w:bCs/>
          <w:color w:val="24324A"/>
          <w:sz w:val="21"/>
          <w:szCs w:val="21"/>
        </w:rPr>
        <w:t xml:space="preserve">Enterprise Admin Console · Selected launch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2024</w:t>
      </w:r>
    </w:p>
    <w:p>
      <w:pPr>
        <w:pStyle w:val="ListParagraph"/>
        <w:numPr>
          <w:ilvl w:val="0"/>
          <w:numId w:val="1"/>
        </w:numPr>
        <w:spacing w:after="35"/>
      </w:pPr>
      <w:r>
        <w:rPr>
          <w:rFonts w:ascii="Arial" w:cs="Arial" w:eastAsia="Arial" w:hAnsi="Arial"/>
          <w:color w:val="24324A"/>
          <w:sz w:val="21"/>
          <w:szCs w:val="21"/>
        </w:rPr>
        <w:t xml:space="preserve">Sequenced role management, audit history, and delegated administration after comparing customer risk, revenue exposure, and engineering effort.</w:t>
      </w:r>
    </w:p>
    <w:p>
      <w:pPr>
        <w:pStyle w:val="Heading2"/>
        <w:keepNext/>
        <w:spacing w:after="80" w:before="240"/>
      </w:pPr>
      <w:r>
        <w:rPr>
          <w:rFonts w:ascii="Arial" w:cs="Arial" w:eastAsia="Arial" w:hAnsi="Arial"/>
          <w:b/>
          <w:bCs/>
          <w:color w:val="24324A"/>
          <w:sz w:val="22"/>
          <w:szCs w:val="22"/>
        </w:rPr>
        <w:t xml:space="preserve">EDUCATION</w:t>
      </w:r>
    </w:p>
    <w:p>
      <w:pPr>
        <w:tabs>
          <w:tab w:val="right" w:pos="10650"/>
        </w:tabs>
      </w:pPr>
      <w:r>
        <w:rPr>
          <w:rFonts w:ascii="Arial" w:cs="Arial" w:eastAsia="Arial" w:hAnsi="Arial"/>
          <w:color w:val="24324A"/>
          <w:sz w:val="21"/>
          <w:szCs w:val="21"/>
        </w:rPr>
        <w:t xml:space="preserve">B.S. Economics · Hudson University</w:t>
      </w:r>
      <w:r>
        <w:rPr>
          <w:rFonts w:ascii="Arial" w:cs="Arial" w:eastAsia="Arial" w:hAnsi="Arial"/>
          <w:color w:val="666666"/>
          <w:sz w:val="19"/>
          <w:szCs w:val="19"/>
        </w:rPr>
        <w:t xml:space="preserve">	2019</w:t>
      </w:r>
    </w:p>
    <w:sectPr>
      <w:pgSz w:w="12240" w:h="15840" w:orient="portrait"/>
      <w:pgMar w:top="864" w:right="864" w:bottom="864" w:left="864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2026-07-26T15:27:06.132Z</dcterms:created>
  <dcterms:modified xsi:type="dcterms:W3CDTF">2026-07-26T15:27:06.132Z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